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8E42" w14:textId="6BE90ACF" w:rsidR="000873BC" w:rsidRDefault="002F0673" w:rsidP="000873BC">
      <w:pPr>
        <w:pStyle w:val="NormalWeb"/>
        <w:spacing w:line="270" w:lineRule="atLeast"/>
        <w:rPr>
          <w:rFonts w:ascii="Arial" w:hAnsi="Arial" w:cs="Arial"/>
          <w:caps/>
          <w:color w:val="77A22D"/>
          <w:sz w:val="21"/>
          <w:szCs w:val="21"/>
        </w:rPr>
      </w:pPr>
      <w:r>
        <w:rPr>
          <w:b/>
          <w:bCs/>
        </w:rPr>
        <w:t xml:space="preserve"> </w:t>
      </w:r>
    </w:p>
    <w:p w14:paraId="1DA11D23" w14:textId="125D928C" w:rsidR="00FE28A2" w:rsidRDefault="004B7144" w:rsidP="004B7144">
      <w:pPr>
        <w:tabs>
          <w:tab w:val="left" w:pos="911"/>
        </w:tabs>
        <w:spacing w:after="200" w:line="240" w:lineRule="auto"/>
        <w:rPr>
          <w:b/>
          <w:bCs/>
        </w:rPr>
      </w:pPr>
      <w:r>
        <w:rPr>
          <w:b/>
          <w:bCs/>
        </w:rPr>
        <w:tab/>
      </w:r>
    </w:p>
    <w:p w14:paraId="4E40E68A" w14:textId="2C9EDCB2" w:rsidR="00342664" w:rsidRDefault="00342664" w:rsidP="00521E6D">
      <w:pPr>
        <w:spacing w:after="200" w:line="240" w:lineRule="auto"/>
        <w:rPr>
          <w:b/>
          <w:bCs/>
          <w:sz w:val="28"/>
          <w:szCs w:val="24"/>
        </w:rPr>
      </w:pPr>
      <w:r w:rsidRPr="00BC6A32">
        <w:rPr>
          <w:b/>
          <w:bCs/>
        </w:rPr>
        <w:t>Abstract:</w:t>
      </w:r>
      <w:r>
        <w:rPr>
          <w:b/>
          <w:bCs/>
        </w:rPr>
        <w:t xml:space="preserve"> </w:t>
      </w:r>
      <w:r w:rsidR="00850C22">
        <w:t xml:space="preserve"> </w:t>
      </w:r>
      <w:bookmarkStart w:id="0" w:name="_Hlk179794349"/>
      <w:r w:rsidR="00850C22">
        <w:t xml:space="preserve">A cost segregation study is a strategic tax planning tool </w:t>
      </w:r>
      <w:r w:rsidR="00E74737">
        <w:t>that allows a business property owner to accelerate depreciation deductions. That</w:t>
      </w:r>
      <w:r w:rsidR="00392B7D">
        <w:t>,</w:t>
      </w:r>
      <w:r w:rsidR="00E74737">
        <w:t xml:space="preserve"> i</w:t>
      </w:r>
      <w:r w:rsidR="00406827">
        <w:t>n turn</w:t>
      </w:r>
      <w:r w:rsidR="00392B7D">
        <w:t>,</w:t>
      </w:r>
      <w:r w:rsidR="00387BDA">
        <w:t xml:space="preserve"> </w:t>
      </w:r>
      <w:r w:rsidR="00227A8B">
        <w:t>will enable the owner</w:t>
      </w:r>
      <w:r w:rsidR="00406827">
        <w:t xml:space="preserve"> to reduce taxable income and increase cash flow.</w:t>
      </w:r>
      <w:r w:rsidR="00E441AA">
        <w:t xml:space="preserve"> Take a look at the powerful </w:t>
      </w:r>
      <w:r w:rsidR="00FE54E6">
        <w:t xml:space="preserve">tax </w:t>
      </w:r>
      <w:r w:rsidR="00E441AA">
        <w:t xml:space="preserve">benefits of </w:t>
      </w:r>
      <w:r w:rsidR="00FE54E6">
        <w:t>this tool.</w:t>
      </w:r>
    </w:p>
    <w:bookmarkEnd w:id="0"/>
    <w:p w14:paraId="7AAE8CFE" w14:textId="6428CD49" w:rsidR="00C2462D" w:rsidRDefault="00CA1639" w:rsidP="00521E6D">
      <w:pPr>
        <w:spacing w:after="200" w:line="240" w:lineRule="auto"/>
      </w:pPr>
      <w:r>
        <w:rPr>
          <w:b/>
          <w:bCs/>
          <w:sz w:val="28"/>
          <w:szCs w:val="24"/>
        </w:rPr>
        <w:t xml:space="preserve">Unlocking tax savings: The benefits of </w:t>
      </w:r>
      <w:r w:rsidR="00E441AA">
        <w:rPr>
          <w:b/>
          <w:bCs/>
          <w:sz w:val="28"/>
          <w:szCs w:val="24"/>
        </w:rPr>
        <w:t>a cost segregation study</w:t>
      </w:r>
    </w:p>
    <w:p w14:paraId="40235E68" w14:textId="7E38C56D" w:rsidR="008B6CC2" w:rsidRDefault="00F057D6" w:rsidP="002C1521">
      <w:pPr>
        <w:spacing w:line="240" w:lineRule="auto"/>
      </w:pPr>
      <w:r>
        <w:t>A cost segregation study is a strategic tax planning tool that allows a business property owner to accelerate depreciation deductions. That, in turn, will enable the owner to reduce taxable income and increase cash flow.</w:t>
      </w:r>
      <w:r w:rsidR="00B472EC">
        <w:rPr>
          <w:rFonts w:eastAsia="Times New Roman" w:cs="Times New Roman"/>
          <w:szCs w:val="24"/>
        </w:rPr>
        <w:t xml:space="preserve"> </w:t>
      </w:r>
      <w:r w:rsidR="008B6CC2" w:rsidRPr="000E4244">
        <w:rPr>
          <w:rFonts w:eastAsia="Times New Roman" w:cs="Times New Roman"/>
          <w:szCs w:val="24"/>
        </w:rPr>
        <w:t>A</w:t>
      </w:r>
      <w:r w:rsidR="00DB6912">
        <w:rPr>
          <w:rFonts w:eastAsia="Times New Roman" w:cs="Times New Roman"/>
          <w:szCs w:val="24"/>
        </w:rPr>
        <w:t xml:space="preserve"> </w:t>
      </w:r>
      <w:r w:rsidR="008B6CC2" w:rsidRPr="000E4244">
        <w:rPr>
          <w:rFonts w:eastAsia="Times New Roman" w:cs="Times New Roman"/>
          <w:szCs w:val="24"/>
        </w:rPr>
        <w:t>cost segregation study</w:t>
      </w:r>
      <w:r w:rsidR="00DB6912">
        <w:rPr>
          <w:rFonts w:eastAsia="Times New Roman" w:cs="Times New Roman"/>
          <w:szCs w:val="24"/>
        </w:rPr>
        <w:t xml:space="preserve"> </w:t>
      </w:r>
      <w:r w:rsidR="00C401FC">
        <w:rPr>
          <w:rFonts w:eastAsia="Times New Roman" w:cs="Times New Roman"/>
          <w:szCs w:val="24"/>
        </w:rPr>
        <w:t>can</w:t>
      </w:r>
      <w:r w:rsidR="00EA169B">
        <w:rPr>
          <w:rFonts w:eastAsia="Times New Roman" w:cs="Times New Roman"/>
          <w:szCs w:val="24"/>
        </w:rPr>
        <w:t xml:space="preserve"> be </w:t>
      </w:r>
      <w:r w:rsidR="00E84A60">
        <w:rPr>
          <w:rFonts w:eastAsia="Times New Roman" w:cs="Times New Roman"/>
          <w:szCs w:val="24"/>
        </w:rPr>
        <w:t>performed</w:t>
      </w:r>
      <w:r w:rsidR="00E84A60" w:rsidRPr="000E4244">
        <w:rPr>
          <w:rFonts w:eastAsia="Times New Roman" w:cs="Times New Roman"/>
          <w:szCs w:val="24"/>
        </w:rPr>
        <w:t xml:space="preserve"> </w:t>
      </w:r>
      <w:r w:rsidR="008B6CC2" w:rsidRPr="000E4244">
        <w:rPr>
          <w:rFonts w:eastAsia="Times New Roman" w:cs="Times New Roman"/>
          <w:szCs w:val="24"/>
        </w:rPr>
        <w:t xml:space="preserve">by an expert in the field. The study separates various building components — such as electrical systems, </w:t>
      </w:r>
      <w:r w:rsidR="00A82C73">
        <w:rPr>
          <w:rFonts w:eastAsia="Times New Roman" w:cs="Times New Roman"/>
          <w:szCs w:val="24"/>
        </w:rPr>
        <w:t xml:space="preserve">certain </w:t>
      </w:r>
      <w:r w:rsidR="008B6CC2" w:rsidRPr="000E4244">
        <w:rPr>
          <w:rFonts w:eastAsia="Times New Roman" w:cs="Times New Roman"/>
          <w:szCs w:val="24"/>
        </w:rPr>
        <w:t>plumbing systems and removable carpeting</w:t>
      </w:r>
      <w:r w:rsidR="00993F02">
        <w:rPr>
          <w:rFonts w:eastAsia="Times New Roman" w:cs="Times New Roman"/>
          <w:szCs w:val="24"/>
        </w:rPr>
        <w:t>.</w:t>
      </w:r>
      <w:r w:rsidR="008B6CC2" w:rsidRPr="000E4244">
        <w:rPr>
          <w:rFonts w:eastAsia="Times New Roman" w:cs="Times New Roman"/>
          <w:szCs w:val="24"/>
        </w:rPr>
        <w:t xml:space="preserve"> </w:t>
      </w:r>
      <w:r w:rsidR="00895AB9">
        <w:rPr>
          <w:rFonts w:eastAsia="Times New Roman" w:cs="Times New Roman"/>
          <w:szCs w:val="24"/>
        </w:rPr>
        <w:t xml:space="preserve">It then allows the </w:t>
      </w:r>
      <w:r w:rsidR="008B6CC2" w:rsidRPr="000E4244">
        <w:rPr>
          <w:rFonts w:eastAsia="Times New Roman" w:cs="Times New Roman"/>
          <w:szCs w:val="24"/>
        </w:rPr>
        <w:t xml:space="preserve">personal property </w:t>
      </w:r>
      <w:r w:rsidR="00895AB9">
        <w:rPr>
          <w:rFonts w:eastAsia="Times New Roman" w:cs="Times New Roman"/>
          <w:szCs w:val="24"/>
        </w:rPr>
        <w:t xml:space="preserve">to be reclassified </w:t>
      </w:r>
      <w:r w:rsidR="00EE64F7">
        <w:rPr>
          <w:rFonts w:eastAsia="Times New Roman" w:cs="Times New Roman"/>
          <w:szCs w:val="24"/>
        </w:rPr>
        <w:t xml:space="preserve">for tax purposes </w:t>
      </w:r>
      <w:r w:rsidR="00895AB9">
        <w:rPr>
          <w:rFonts w:eastAsia="Times New Roman" w:cs="Times New Roman"/>
          <w:szCs w:val="24"/>
        </w:rPr>
        <w:t>and deducted</w:t>
      </w:r>
      <w:r w:rsidR="003223A5">
        <w:rPr>
          <w:rFonts w:eastAsia="Times New Roman" w:cs="Times New Roman"/>
          <w:szCs w:val="24"/>
        </w:rPr>
        <w:t xml:space="preserve"> </w:t>
      </w:r>
      <w:r w:rsidR="008B6CC2" w:rsidRPr="000E4244">
        <w:rPr>
          <w:rFonts w:eastAsia="Times New Roman" w:cs="Times New Roman"/>
          <w:szCs w:val="24"/>
        </w:rPr>
        <w:t>over</w:t>
      </w:r>
      <w:r w:rsidR="004E385C">
        <w:rPr>
          <w:rFonts w:eastAsia="Times New Roman" w:cs="Times New Roman"/>
          <w:szCs w:val="24"/>
        </w:rPr>
        <w:t xml:space="preserve"> a much shorter period</w:t>
      </w:r>
      <w:r w:rsidR="008B6CC2" w:rsidRPr="000E4244">
        <w:rPr>
          <w:rFonts w:eastAsia="Times New Roman" w:cs="Times New Roman"/>
          <w:szCs w:val="24"/>
        </w:rPr>
        <w:t xml:space="preserve">. This strategy has been </w:t>
      </w:r>
      <w:r w:rsidR="008B6CC2">
        <w:rPr>
          <w:rFonts w:eastAsia="Times New Roman" w:cs="Times New Roman"/>
          <w:szCs w:val="24"/>
        </w:rPr>
        <w:t xml:space="preserve">consistently </w:t>
      </w:r>
      <w:r w:rsidR="008B6CC2" w:rsidRPr="000E4244">
        <w:rPr>
          <w:rFonts w:eastAsia="Times New Roman" w:cs="Times New Roman"/>
          <w:szCs w:val="24"/>
        </w:rPr>
        <w:t>upheld in the courts.</w:t>
      </w:r>
    </w:p>
    <w:p w14:paraId="47C0CE6B" w14:textId="7B59103B" w:rsidR="00C2462D" w:rsidRPr="00F67C00" w:rsidRDefault="00B222BA" w:rsidP="00521E6D">
      <w:pPr>
        <w:spacing w:after="200" w:line="240" w:lineRule="auto"/>
        <w:rPr>
          <w:b/>
          <w:bCs/>
        </w:rPr>
      </w:pPr>
      <w:r>
        <w:rPr>
          <w:b/>
          <w:bCs/>
        </w:rPr>
        <w:t>Fundamentals of d</w:t>
      </w:r>
      <w:r w:rsidR="00C2462D" w:rsidRPr="00F67C00">
        <w:rPr>
          <w:b/>
          <w:bCs/>
        </w:rPr>
        <w:t>epreciation</w:t>
      </w:r>
    </w:p>
    <w:p w14:paraId="4ABBCAD8" w14:textId="19A477EE" w:rsidR="00C2462D" w:rsidRPr="00A40714" w:rsidRDefault="00C2462D" w:rsidP="00521E6D">
      <w:pPr>
        <w:spacing w:after="200" w:line="240" w:lineRule="auto"/>
        <w:rPr>
          <w:strike/>
        </w:rPr>
      </w:pPr>
      <w:r>
        <w:t>Business buildings generally have a 39-year depreciation period</w:t>
      </w:r>
      <w:r w:rsidR="00037B75">
        <w:t>.</w:t>
      </w:r>
      <w:r>
        <w:t xml:space="preserve"> </w:t>
      </w:r>
      <w:r w:rsidR="003222CB">
        <w:t xml:space="preserve">Typically, companies </w:t>
      </w:r>
      <w:r>
        <w:t>depreciate a building’s structural components</w:t>
      </w:r>
      <w:r w:rsidR="003222CB">
        <w:t xml:space="preserve"> </w:t>
      </w:r>
      <w:r w:rsidR="003222CB">
        <w:rPr>
          <w:rFonts w:cs="Times New Roman"/>
        </w:rPr>
        <w:t>—</w:t>
      </w:r>
      <w:r>
        <w:t xml:space="preserve"> including walls, windows, HVAC systems, plumbing and wiring</w:t>
      </w:r>
      <w:r w:rsidR="003222CB">
        <w:t xml:space="preserve"> </w:t>
      </w:r>
      <w:r w:rsidR="003222CB">
        <w:rPr>
          <w:rFonts w:cs="Times New Roman"/>
        </w:rPr>
        <w:t>—</w:t>
      </w:r>
      <w:r>
        <w:t xml:space="preserve"> along with the building. Personal property </w:t>
      </w:r>
      <w:r w:rsidR="003222CB">
        <w:t>(</w:t>
      </w:r>
      <w:r>
        <w:t>such as equipment, machinery, furniture and fixtures</w:t>
      </w:r>
      <w:r w:rsidR="003222CB">
        <w:t xml:space="preserve">) </w:t>
      </w:r>
      <w:r>
        <w:t xml:space="preserve">is eligible for accelerated depreciation, usually over five or seven years. </w:t>
      </w:r>
      <w:r w:rsidR="00B7381B">
        <w:rPr>
          <w:strike/>
        </w:rPr>
        <w:t xml:space="preserve"> </w:t>
      </w:r>
    </w:p>
    <w:p w14:paraId="128F617C" w14:textId="4523A890" w:rsidR="00BF4D88" w:rsidRDefault="00C2462D" w:rsidP="00521E6D">
      <w:pPr>
        <w:spacing w:after="200" w:line="240" w:lineRule="auto"/>
      </w:pPr>
      <w:r>
        <w:t>Often, businesses allocate all</w:t>
      </w:r>
      <w:r w:rsidR="00E84A60">
        <w:t>,</w:t>
      </w:r>
      <w:r>
        <w:t xml:space="preserve"> or most</w:t>
      </w:r>
      <w:r w:rsidR="00E84A60">
        <w:t>,</w:t>
      </w:r>
      <w:r>
        <w:t xml:space="preserve"> of their buildings’ acquisition or construction costs to real property, overlooking opportunities to allocate costs to shorter-lived personal property or land improvements.</w:t>
      </w:r>
      <w:r w:rsidR="00CC1297">
        <w:t xml:space="preserve"> </w:t>
      </w:r>
      <w:r w:rsidR="00BC6A32">
        <w:t>Items that appear to be “part of a building” may</w:t>
      </w:r>
      <w:r w:rsidR="00EA0CE7">
        <w:t>,</w:t>
      </w:r>
      <w:r w:rsidR="00BC6A32">
        <w:t xml:space="preserve"> in fact</w:t>
      </w:r>
      <w:r w:rsidR="00EA0CE7">
        <w:t>,</w:t>
      </w:r>
      <w:r w:rsidR="00BC6A32">
        <w:t xml:space="preserve"> be personal property</w:t>
      </w:r>
      <w:r w:rsidR="00CC1297">
        <w:t xml:space="preserve">. Examples include </w:t>
      </w:r>
      <w:r w:rsidR="00BC6A32">
        <w:t>removable wall and floor coverings, removable partitions, awnings</w:t>
      </w:r>
      <w:r w:rsidR="005E2696">
        <w:t>,</w:t>
      </w:r>
      <w:r w:rsidR="00BC6A32">
        <w:t xml:space="preserve"> canopies, window treatments</w:t>
      </w:r>
      <w:r w:rsidR="00E3505A">
        <w:t xml:space="preserve"> and</w:t>
      </w:r>
      <w:r w:rsidR="00BC6A32">
        <w:t xml:space="preserve"> signs</w:t>
      </w:r>
      <w:r w:rsidR="00E3505A">
        <w:t>.</w:t>
      </w:r>
    </w:p>
    <w:p w14:paraId="742C4044" w14:textId="38463AC6" w:rsidR="006B0886" w:rsidRPr="00B7381B" w:rsidRDefault="006B0886" w:rsidP="006B0886">
      <w:pPr>
        <w:spacing w:after="200" w:line="240" w:lineRule="auto"/>
        <w:rPr>
          <w:b/>
          <w:bCs/>
        </w:rPr>
      </w:pPr>
      <w:r w:rsidRPr="00B7381B">
        <w:rPr>
          <w:b/>
          <w:bCs/>
        </w:rPr>
        <w:t>Shin</w:t>
      </w:r>
      <w:r w:rsidR="00591F01">
        <w:rPr>
          <w:b/>
          <w:bCs/>
        </w:rPr>
        <w:t>e</w:t>
      </w:r>
      <w:r w:rsidRPr="00B7381B">
        <w:rPr>
          <w:b/>
          <w:bCs/>
        </w:rPr>
        <w:t xml:space="preserve"> a light on </w:t>
      </w:r>
      <w:r w:rsidR="00B301A3">
        <w:rPr>
          <w:b/>
          <w:bCs/>
        </w:rPr>
        <w:t>outdoor savings</w:t>
      </w:r>
    </w:p>
    <w:p w14:paraId="60AA70FB" w14:textId="79499CF0" w:rsidR="006B0886" w:rsidRPr="00B7381B" w:rsidRDefault="006B0886" w:rsidP="006B0886">
      <w:pPr>
        <w:spacing w:line="240" w:lineRule="auto"/>
        <w:rPr>
          <w:rFonts w:eastAsia="Times New Roman" w:cs="Times New Roman"/>
          <w:szCs w:val="24"/>
        </w:rPr>
      </w:pPr>
      <w:r w:rsidRPr="00B7381B">
        <w:t xml:space="preserve">Rules for </w:t>
      </w:r>
      <w:r w:rsidR="002752CC" w:rsidRPr="00B7381B">
        <w:t xml:space="preserve">outdoor </w:t>
      </w:r>
      <w:r w:rsidRPr="00B7381B">
        <w:t>lighting</w:t>
      </w:r>
      <w:r w:rsidR="002752CC" w:rsidRPr="00B7381B">
        <w:t>, parking lots,</w:t>
      </w:r>
      <w:r w:rsidRPr="00B7381B">
        <w:t xml:space="preserve"> landscaping </w:t>
      </w:r>
      <w:r w:rsidR="00D401E5" w:rsidRPr="00B7381B">
        <w:t>and</w:t>
      </w:r>
      <w:r w:rsidR="002752CC" w:rsidRPr="00B7381B">
        <w:t xml:space="preserve"> fencing</w:t>
      </w:r>
      <w:r w:rsidR="00D401E5" w:rsidRPr="00B7381B">
        <w:t xml:space="preserve"> </w:t>
      </w:r>
      <w:r w:rsidRPr="00B7381B">
        <w:t xml:space="preserve">are tricky but can still lead to current tax deductions in certain situations. These expenditures are generally treated as capital improvements, subject to the 15-year depreciation rule. </w:t>
      </w:r>
      <w:r w:rsidRPr="00B7381B">
        <w:rPr>
          <w:rFonts w:eastAsia="Times New Roman" w:cs="Times New Roman"/>
          <w:szCs w:val="24"/>
        </w:rPr>
        <w:t xml:space="preserve">For instance, if you replace your business lighting to upgrade it or provide greater security at night, it qualifies as a deductible capital improvement. Similarly, landscaping projects designed to boost your curb appeal or provide environmental benefits are considered capital improvements. </w:t>
      </w:r>
    </w:p>
    <w:p w14:paraId="332D83F6" w14:textId="3889FFC7" w:rsidR="006B0886" w:rsidRDefault="006B0886" w:rsidP="00F900B6">
      <w:pPr>
        <w:spacing w:line="240" w:lineRule="auto"/>
      </w:pPr>
      <w:r w:rsidRPr="00B7381B">
        <w:rPr>
          <w:rFonts w:eastAsia="Times New Roman" w:cs="Times New Roman"/>
          <w:szCs w:val="24"/>
        </w:rPr>
        <w:t xml:space="preserve">On the other hand, routine maintenance — such as the costs of mowing and watering the lawn surrounding your business building — typically fall into the category of deductible </w:t>
      </w:r>
      <w:r w:rsidR="00B7381B" w:rsidRPr="00B7381B">
        <w:rPr>
          <w:rFonts w:eastAsia="Times New Roman" w:cs="Times New Roman"/>
          <w:szCs w:val="24"/>
        </w:rPr>
        <w:t>bu</w:t>
      </w:r>
      <w:r w:rsidRPr="00B7381B">
        <w:rPr>
          <w:rFonts w:eastAsia="Times New Roman" w:cs="Times New Roman"/>
          <w:szCs w:val="24"/>
        </w:rPr>
        <w:t>siness expenses, just like minor repairs.</w:t>
      </w:r>
      <w:r w:rsidRPr="00B7381B">
        <w:rPr>
          <w:rFonts w:ascii="Roboto" w:eastAsia="Times New Roman" w:hAnsi="Roboto" w:cs="Times New Roman"/>
          <w:szCs w:val="24"/>
        </w:rPr>
        <w:t xml:space="preserve"> </w:t>
      </w:r>
    </w:p>
    <w:p w14:paraId="3BB35494" w14:textId="339EB215" w:rsidR="00BC6A32" w:rsidRPr="00F67C00" w:rsidRDefault="000D1222" w:rsidP="00521E6D">
      <w:pPr>
        <w:spacing w:after="200" w:line="240" w:lineRule="auto"/>
        <w:rPr>
          <w:b/>
          <w:bCs/>
        </w:rPr>
      </w:pPr>
      <w:r>
        <w:rPr>
          <w:b/>
          <w:bCs/>
        </w:rPr>
        <w:t>Identifying</w:t>
      </w:r>
      <w:r w:rsidR="00F67C00" w:rsidRPr="00F67C00">
        <w:rPr>
          <w:b/>
          <w:bCs/>
        </w:rPr>
        <w:t xml:space="preserve"> costs</w:t>
      </w:r>
    </w:p>
    <w:p w14:paraId="6C04BB9F" w14:textId="481DA5C6" w:rsidR="00D553EF" w:rsidRDefault="00C2462D" w:rsidP="00521E6D">
      <w:pPr>
        <w:spacing w:after="200" w:line="240" w:lineRule="auto"/>
      </w:pPr>
      <w:r>
        <w:t xml:space="preserve">A cost segregation study combines accounting and engineering techniques to identify building costs that are properly allocable to tangible personal property rather than real property. Although </w:t>
      </w:r>
      <w:r>
        <w:lastRenderedPageBreak/>
        <w:t xml:space="preserve">the relative costs and benefits of a cost segregation study </w:t>
      </w:r>
      <w:r w:rsidR="00D853F9">
        <w:t xml:space="preserve">will </w:t>
      </w:r>
      <w:r>
        <w:t>depend on your particular facts and circumstances, it can be a valuable investment.</w:t>
      </w:r>
    </w:p>
    <w:p w14:paraId="13DB1B81" w14:textId="4C39EFE1" w:rsidR="00BF4D88" w:rsidRDefault="00BF4D88" w:rsidP="00521E6D">
      <w:pPr>
        <w:spacing w:after="200" w:line="240" w:lineRule="auto"/>
      </w:pPr>
      <w:r>
        <w:t>It may allow you to accelerate depreciation deductions on certain items, thereby reducing taxes and boosting cash flow. And</w:t>
      </w:r>
      <w:r w:rsidR="00F67C00">
        <w:t xml:space="preserve">, </w:t>
      </w:r>
      <w:r w:rsidR="00421A21">
        <w:t>under</w:t>
      </w:r>
      <w:r w:rsidR="00F67C00">
        <w:t xml:space="preserve"> the Tax Cuts and Jobs Act, </w:t>
      </w:r>
      <w:r>
        <w:t xml:space="preserve">the potential benefits of a cost segregation study </w:t>
      </w:r>
      <w:r w:rsidR="005B0EEC">
        <w:t>may be</w:t>
      </w:r>
      <w:r>
        <w:t xml:space="preserve"> even greater than they were years ago </w:t>
      </w:r>
      <w:r w:rsidR="00F67C00">
        <w:t xml:space="preserve">because of </w:t>
      </w:r>
      <w:r>
        <w:t>enhancements to certain depreciation-related tax breaks.</w:t>
      </w:r>
    </w:p>
    <w:p w14:paraId="6C6A16E3" w14:textId="65B47B21" w:rsidR="00F67C00" w:rsidRPr="00F67C00" w:rsidRDefault="00F67C00" w:rsidP="00521E6D">
      <w:pPr>
        <w:spacing w:after="200" w:line="240" w:lineRule="auto"/>
        <w:rPr>
          <w:b/>
          <w:bCs/>
        </w:rPr>
      </w:pPr>
      <w:r w:rsidRPr="00F67C00">
        <w:rPr>
          <w:b/>
          <w:bCs/>
        </w:rPr>
        <w:t xml:space="preserve">Worth </w:t>
      </w:r>
      <w:r w:rsidR="001C503B">
        <w:rPr>
          <w:b/>
          <w:bCs/>
        </w:rPr>
        <w:t>checking out</w:t>
      </w:r>
    </w:p>
    <w:p w14:paraId="16100925" w14:textId="75EF4A2A" w:rsidR="00816EF5" w:rsidRDefault="00F67C00" w:rsidP="00521E6D">
      <w:pPr>
        <w:spacing w:after="200" w:line="240" w:lineRule="auto"/>
      </w:pPr>
      <w:r>
        <w:t xml:space="preserve">Cost segregation studies have costs </w:t>
      </w:r>
      <w:r w:rsidR="00B645CC">
        <w:t>of</w:t>
      </w:r>
      <w:r>
        <w:t xml:space="preserve"> their own, but the potential long-term tax benefits may make it worth</w:t>
      </w:r>
      <w:r w:rsidR="00B645CC">
        <w:t>while</w:t>
      </w:r>
      <w:r>
        <w:t xml:space="preserve"> to undertake the process. Contact our firm for further details.</w:t>
      </w:r>
    </w:p>
    <w:p w14:paraId="3F1E8870" w14:textId="77777777" w:rsidR="00761E8E" w:rsidRDefault="00761E8E" w:rsidP="00521E6D">
      <w:pPr>
        <w:spacing w:after="200" w:line="240" w:lineRule="auto"/>
      </w:pPr>
    </w:p>
    <w:sectPr w:rsidR="00761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2D"/>
    <w:rsid w:val="000003A7"/>
    <w:rsid w:val="0000180E"/>
    <w:rsid w:val="00023C14"/>
    <w:rsid w:val="00037B75"/>
    <w:rsid w:val="00042800"/>
    <w:rsid w:val="00061608"/>
    <w:rsid w:val="000705F4"/>
    <w:rsid w:val="00070B95"/>
    <w:rsid w:val="00073169"/>
    <w:rsid w:val="00073C60"/>
    <w:rsid w:val="0007651B"/>
    <w:rsid w:val="000873BC"/>
    <w:rsid w:val="00091465"/>
    <w:rsid w:val="000A5280"/>
    <w:rsid w:val="000D1222"/>
    <w:rsid w:val="000D2FB7"/>
    <w:rsid w:val="001343D8"/>
    <w:rsid w:val="0016753D"/>
    <w:rsid w:val="00196B91"/>
    <w:rsid w:val="001C503B"/>
    <w:rsid w:val="001F1AFC"/>
    <w:rsid w:val="001F2D76"/>
    <w:rsid w:val="00205E96"/>
    <w:rsid w:val="00227A8B"/>
    <w:rsid w:val="0023358E"/>
    <w:rsid w:val="002720D1"/>
    <w:rsid w:val="002752CC"/>
    <w:rsid w:val="002C1521"/>
    <w:rsid w:val="002F0673"/>
    <w:rsid w:val="003222CB"/>
    <w:rsid w:val="003223A5"/>
    <w:rsid w:val="003271D2"/>
    <w:rsid w:val="00335527"/>
    <w:rsid w:val="00342664"/>
    <w:rsid w:val="00350AC3"/>
    <w:rsid w:val="00385645"/>
    <w:rsid w:val="00387BDA"/>
    <w:rsid w:val="00392B7D"/>
    <w:rsid w:val="003A4017"/>
    <w:rsid w:val="003B2F00"/>
    <w:rsid w:val="00406827"/>
    <w:rsid w:val="00421A21"/>
    <w:rsid w:val="0043043C"/>
    <w:rsid w:val="00434847"/>
    <w:rsid w:val="0048004C"/>
    <w:rsid w:val="004B7144"/>
    <w:rsid w:val="004E2E0A"/>
    <w:rsid w:val="004E385C"/>
    <w:rsid w:val="004F7B78"/>
    <w:rsid w:val="00521E6D"/>
    <w:rsid w:val="005448B2"/>
    <w:rsid w:val="005552BA"/>
    <w:rsid w:val="00591F01"/>
    <w:rsid w:val="00597BB5"/>
    <w:rsid w:val="005B0EEC"/>
    <w:rsid w:val="005B353B"/>
    <w:rsid w:val="005C2A28"/>
    <w:rsid w:val="005D38B3"/>
    <w:rsid w:val="005E0239"/>
    <w:rsid w:val="005E2696"/>
    <w:rsid w:val="00622EB6"/>
    <w:rsid w:val="006549CC"/>
    <w:rsid w:val="006633DC"/>
    <w:rsid w:val="00670BC4"/>
    <w:rsid w:val="00686B4A"/>
    <w:rsid w:val="0069414E"/>
    <w:rsid w:val="006A118B"/>
    <w:rsid w:val="006A20CD"/>
    <w:rsid w:val="006B0886"/>
    <w:rsid w:val="00702EA4"/>
    <w:rsid w:val="00753940"/>
    <w:rsid w:val="007601E8"/>
    <w:rsid w:val="00761E8E"/>
    <w:rsid w:val="007659A9"/>
    <w:rsid w:val="007979D3"/>
    <w:rsid w:val="007C5C02"/>
    <w:rsid w:val="007E1C49"/>
    <w:rsid w:val="00814DF3"/>
    <w:rsid w:val="00816EF5"/>
    <w:rsid w:val="0082546B"/>
    <w:rsid w:val="00850C22"/>
    <w:rsid w:val="00852016"/>
    <w:rsid w:val="008572EF"/>
    <w:rsid w:val="00870538"/>
    <w:rsid w:val="00871508"/>
    <w:rsid w:val="0087310C"/>
    <w:rsid w:val="00877581"/>
    <w:rsid w:val="00892F95"/>
    <w:rsid w:val="00895AB9"/>
    <w:rsid w:val="008A150D"/>
    <w:rsid w:val="008B0B15"/>
    <w:rsid w:val="008B6CC2"/>
    <w:rsid w:val="008C7A02"/>
    <w:rsid w:val="008E2DD7"/>
    <w:rsid w:val="008E7157"/>
    <w:rsid w:val="00977260"/>
    <w:rsid w:val="00990436"/>
    <w:rsid w:val="00993F02"/>
    <w:rsid w:val="009A1927"/>
    <w:rsid w:val="009A2FA1"/>
    <w:rsid w:val="009B4CAE"/>
    <w:rsid w:val="009D7236"/>
    <w:rsid w:val="009F2018"/>
    <w:rsid w:val="009F29C8"/>
    <w:rsid w:val="00A14E11"/>
    <w:rsid w:val="00A212C4"/>
    <w:rsid w:val="00A40714"/>
    <w:rsid w:val="00A6222F"/>
    <w:rsid w:val="00A82C73"/>
    <w:rsid w:val="00A84021"/>
    <w:rsid w:val="00AA61B7"/>
    <w:rsid w:val="00AF620B"/>
    <w:rsid w:val="00B006A7"/>
    <w:rsid w:val="00B222BA"/>
    <w:rsid w:val="00B301A3"/>
    <w:rsid w:val="00B472EC"/>
    <w:rsid w:val="00B63CDF"/>
    <w:rsid w:val="00B645CC"/>
    <w:rsid w:val="00B7381B"/>
    <w:rsid w:val="00B76FEB"/>
    <w:rsid w:val="00BC6A32"/>
    <w:rsid w:val="00BF4D88"/>
    <w:rsid w:val="00C2462D"/>
    <w:rsid w:val="00C400E2"/>
    <w:rsid w:val="00C401FC"/>
    <w:rsid w:val="00C73802"/>
    <w:rsid w:val="00C739C3"/>
    <w:rsid w:val="00C94E7A"/>
    <w:rsid w:val="00CA1639"/>
    <w:rsid w:val="00CA4C7F"/>
    <w:rsid w:val="00CB2ACA"/>
    <w:rsid w:val="00CB3D48"/>
    <w:rsid w:val="00CC1297"/>
    <w:rsid w:val="00D401E5"/>
    <w:rsid w:val="00D553EF"/>
    <w:rsid w:val="00D63EB3"/>
    <w:rsid w:val="00D853F9"/>
    <w:rsid w:val="00D870C7"/>
    <w:rsid w:val="00DB6912"/>
    <w:rsid w:val="00DD403D"/>
    <w:rsid w:val="00E04E6C"/>
    <w:rsid w:val="00E3505A"/>
    <w:rsid w:val="00E40A6F"/>
    <w:rsid w:val="00E441AA"/>
    <w:rsid w:val="00E478BE"/>
    <w:rsid w:val="00E74737"/>
    <w:rsid w:val="00E84A60"/>
    <w:rsid w:val="00EA0CE7"/>
    <w:rsid w:val="00EA169B"/>
    <w:rsid w:val="00EE5CC1"/>
    <w:rsid w:val="00EE64F7"/>
    <w:rsid w:val="00EF7360"/>
    <w:rsid w:val="00F057D6"/>
    <w:rsid w:val="00F14ADE"/>
    <w:rsid w:val="00F67C00"/>
    <w:rsid w:val="00F900B6"/>
    <w:rsid w:val="00F95AE5"/>
    <w:rsid w:val="00FA53AF"/>
    <w:rsid w:val="00FB5110"/>
    <w:rsid w:val="00FC16E0"/>
    <w:rsid w:val="00FC2766"/>
    <w:rsid w:val="00FD65D1"/>
    <w:rsid w:val="00FE28A2"/>
    <w:rsid w:val="00FE4A2B"/>
    <w:rsid w:val="00FE54E6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57C1"/>
  <w15:chartTrackingRefBased/>
  <w15:docId w15:val="{AD550DA8-6C72-4455-8DDB-0BDECA35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5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5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59A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9A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29C8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0873B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087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ACE80-242D-4FD4-BAD1-966395015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9ACA6-E7AD-4CEC-9F25-3A02226DE4F0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3.xml><?xml version="1.0" encoding="utf-8"?>
<ds:datastoreItem xmlns:ds="http://schemas.openxmlformats.org/officeDocument/2006/customXml" ds:itemID="{62D99D04-7782-4769-A4D7-59FBF82DD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Teresa Ambord</cp:lastModifiedBy>
  <cp:revision>4</cp:revision>
  <dcterms:created xsi:type="dcterms:W3CDTF">2024-10-23T16:09:00Z</dcterms:created>
  <dcterms:modified xsi:type="dcterms:W3CDTF">2024-10-29T23:51:00Z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17800</vt:r8>
  </property>
</Properties>
</file>